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63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Завдання  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 курсу «Методико-виконавський аналіз педагогічного репертуару»</w:t>
      </w:r>
    </w:p>
    <w:p w:rsidR="00092019" w:rsidRDefault="004544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</w:t>
      </w:r>
      <w:r w:rsidR="00EA0E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спеціалізації «Фортепіано» </w:t>
      </w:r>
      <w:r w:rsidR="00EA0E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ІІІ курс</w:t>
      </w:r>
      <w:r w:rsidR="00EA0E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викладач: </w:t>
      </w:r>
      <w:proofErr w:type="spellStart"/>
      <w:r w:rsidR="00EA0E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Сосяк</w:t>
      </w:r>
      <w:proofErr w:type="spellEnd"/>
      <w:r w:rsidR="00EA0E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І.Б.</w:t>
      </w:r>
    </w:p>
    <w:p w:rsidR="00092019" w:rsidRDefault="0009201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40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2019" w:rsidRDefault="004544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40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  <w:r w:rsidR="00EA0E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методико-виконавського аналізу твору.</w:t>
      </w:r>
    </w:p>
    <w:p w:rsidR="00092019" w:rsidRDefault="00454463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Композитор – </w:t>
      </w:r>
      <w:r w:rsidR="00EA0ED0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даного твору. Характерні особливості його творчості.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0"/>
        </w:tabs>
        <w:spacing w:line="276" w:lineRule="auto"/>
        <w:ind w:left="851" w:right="40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2. Назва твору, приналежність до циклу, збірки тощо; авторські ремарки (програма, присвята тощо); історія   створення; місце даного твору у творчості автора.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3.Ідейно-художній зміст твору, образно-емоційна характеристика та драматур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гія.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4.Аналіз композиторських засобів музичної виразності.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5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5.Аналіз виконавських засобів музичної виразності.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6.Виконавсько-технічні проблеми.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54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7.Методичні рекомендації </w:t>
      </w:r>
      <w:r w:rsidR="000C7B46">
        <w:rPr>
          <w:rFonts w:ascii="Times New Roman" w:eastAsia="Times New Roman" w:hAnsi="Times New Roman" w:cs="Times New Roman"/>
          <w:color w:val="000000"/>
          <w:sz w:val="28"/>
          <w:szCs w:val="28"/>
        </w:rPr>
        <w:t>щодо вивчення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даного твору.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8.Мета включення даного твору у програму учня.</w:t>
      </w:r>
    </w:p>
    <w:p w:rsidR="00092019" w:rsidRDefault="004544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76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1.Композитор – </w:t>
      </w:r>
      <w:r w:rsidR="00EA0E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автор даного твору. Характерні особливості його творчості.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line="276" w:lineRule="auto"/>
        <w:ind w:left="38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розкритті першого пункту потрібно дати коротку біографічну довідку, охарактеризувати історично-мистецьку добу</w:t>
      </w:r>
      <w:r w:rsidR="004544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якій 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та творив даний композитор, стильові особливості його творчості; назвати основні т</w:t>
      </w:r>
      <w:r w:rsidR="00454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вори композитора (обов’язково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фортепіанні), звернути увагу на його виконавську та педагогічну діяльність.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40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2.Назва твору, приналежність до циклу, збірки тощо; авторські ремарки (програма, присвята тощо); історія створення; місце даного твору у творчості автора.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Розкриттю змісту твору, його художнього образу допоможе вдумливий аналіз авторських позначень: назви,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програми, присвяти тощо. Інформація про збірку або цикл п’єс, куди входить дана п’єса, історію їх створення, їхнє місце у творчості автора збагатить ерудицію учня-піаніста, сприятиме розвитку навичок дослідницької діяльності.</w:t>
      </w:r>
    </w:p>
    <w:p w:rsidR="00092019" w:rsidRDefault="004544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40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EA0E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A0E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Ідейно-художній зміст твору</w:t>
      </w:r>
      <w:r w:rsidR="00EA0E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образно-емоційна характеристика та драматургія.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розкритті ідейно-художнього змісту твору, його образно-емоційної характеристики, драматургії необхідно спиратися на образно-художні асоціації з суміжними видами мистецтв (образотворче мистецтво, пластик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архітектура, хореографі</w:t>
      </w:r>
      <w:r w:rsidR="00454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кіномистецтво, драматичний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театр, поезія, художня література, ужиткове та народне мистецтво тощо), явищами природи, соціальної сфери буття.</w:t>
      </w:r>
    </w:p>
    <w:p w:rsidR="00092019" w:rsidRPr="00454463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5"/>
        </w:tabs>
        <w:spacing w:line="276" w:lineRule="auto"/>
        <w:ind w:right="340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4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4.Аналіз композиторських засобів музичної виразності.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0"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Розкриттю образно-художнього змісту твору, плануванню етапів безпосередньої роботи над його текстом, кращого та швидшого вивченню напам’ять допоможе аналіз засобів музичної виразності, що застосовані композитором. Потрібно визначити форму твору в цілому, 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структуру, проаналізувавши співвідношення окремих частин, основну тональність, загальний тональний та гармонічний план. Визначивши фактурні особливості даного твору, спланувати порядок роботи над вертикаллю музичної матерії. При аналізі мелодії як 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енту фактури звернути увагу на її синтаксичний поділ, інтонаційну природу, особливості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метроритму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аналізі гармонії твору звернути увагу на її формотворчу та фонічну роль у даному творі. Для розкриття емоційно-образного змісту твору, його програми, а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акож для планування роботи над виконавськими виразовими засобами необхідно визначити музичні жанри (пісня, танець, марш), що застосовані у даному творі.</w:t>
      </w:r>
    </w:p>
    <w:p w:rsidR="00092019" w:rsidRPr="00454463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30"/>
        </w:tabs>
        <w:spacing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4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Аналіз виконавських засобів музичної виразності.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0"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втілення образно-художнього змісту у реальне 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учання даного музичного твору необхідно визначити виразові виконавські засоби, спираючись або на безпосередньо авторські вказівки, або на редакторські (в останньому випадку необхідно точно визначити редактора). До виразових виконавських засобів відносимо: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динаміку, артикуляцію, тембральне забарвлення, агогіку, педалізацію.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0"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Динаміку необхідно проаналізувати, виходячи з трьох позицій: аналіз динамічного плану твору в цілому, з визначенням кульмінацій; аналіз динаміки в середині дрібних структур (мотив, фраза)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аналіз фактурної динаміки (співвідношення звучання різних шарів фактури).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0"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Артикуляційні проблеми в даному творі розглядаються з таких позицій: артикуляція як засіб синтаксичного поділу кожного фактурного шару з визначенням цезур, що сприяють розділенню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узичної думки або об’єднанню її; </w:t>
      </w:r>
      <w:r w:rsidR="00454463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виконавські штрихи (види туше)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різновиди зв’язних та роздільних; залежність вибору туше від художнього стилю.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0"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Питання тембрального забарвлення в музичному творі тісно пов’язане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образно-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асоціативною уявою виконавця та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изначенням прийомів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звуковидобування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виходячи з об’єктивного аналізу композиторських виразових засобів (жанр твору, роль гармонії, стильові особливості тощо).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проблеми визначаються за такими принципами: роль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метроритму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(темпу, специфічної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ритмо-і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нтонації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змін) у даному творі як засобу для втілення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образно-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художньої ідеї, як виразовий засіб для передачі жанрових та стильових особливостей твору.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0"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 ролі педалізації у втіленні образно художньої ідеї у творі як виразового виконавсь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засобу; її використання у творі залежно від різних жанрів, стилів, характерів.</w:t>
      </w:r>
    </w:p>
    <w:p w:rsidR="00092019" w:rsidRDefault="00092019" w:rsidP="002074B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40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0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Виконавсько-технічні проблеми.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володіння виразовими виконавськими засобами</w:t>
      </w:r>
      <w:r w:rsidR="0020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тісно пов’язана з виконавсько-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технічними проблемами. Тому в поняття методико-виконавського аналізу педагогічного репертуару входить питання визначення та характеристики прийомів та способів технічного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панування найбільш складних для виконання місць у даному творі. При цьому необхідно враховувати підпорядкованість технічної проробки музичній сутності твору.</w:t>
      </w:r>
    </w:p>
    <w:p w:rsidR="00092019" w:rsidRPr="002074B6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90"/>
        </w:tabs>
        <w:spacing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 w:rsidR="002074B6" w:rsidRPr="0020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Методичні рекомендації </w:t>
      </w:r>
      <w:r w:rsidR="0020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щодо вивчення</w:t>
      </w:r>
      <w:r w:rsidRPr="0020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даного твору.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аналізі п’єс, що належать до різних видів фортепіанного репертуару (п’єси поліфонічні, великої форми, малої форми, етюди) необхідно вказати на специфіку методики роботи над ними. Так, поліфонічні твори, що беруться у репертуар з метою виховання поліфон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ічного слуху та мислення, потребують детальної роботи над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голосоведенням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(вивчення окремо кожного голосу, поєднання двох або більше голосів з застосуванням різних методичних засобів), над визначенням та опрацюванням тематичного матеріалу в залежності від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ипу поліфонічного письма (над тембральною та динамічною підпорядкованістю підголоска основному голосу у п’єсах з застосуванням підголоскової поліфонії; робота над різноманітним тембральним забарвленням та диференційованим інтонуванням тематичного матеріалу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п’єсах з застосуванням контрастної поліфонії; робота над імітацією тематичного матеріалу у п’єсах з застосуванням імітаційної поліфонії; тема,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протискладення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74B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інвенціях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фугах, спостереження за їх розвитком).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процесі роботи над творами великої форм</w:t>
      </w:r>
      <w:r w:rsidR="002074B6"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учня розвивається масштабність мислення, вміння цілісно охоплювати думкою архітектоніку структурно неординарних побудов. Тому у роботі над сонатними, варіаційними циклами учневі необхідно детально проаналізувати структуру цих творів, дати характеристик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тематичному матеріалу, прослідкувати за драматургічним процесом, визначити необхідні виразові виконавські засоби та способи роботи над ними.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Твори малої форми вибираються у репертуар з метою виховання образно-художнього мислення учня. Тому тут, насампере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 важливо намітити програму, визначити характер, спираючись на образно-асоціативні приклади та аналіз музичних виразових засобів (композиторських), правильно добрати виразові виконавські засоби, визначити засоби технічного їх опанування.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роботі над 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юдами, крім визначення конкретних музичних виразових засобів, визначаються технічні формули та варіанти роботи над ними.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всього вищесказаного необхідно завжди додавати завдання цілісного виконання кожного твору. У розв’язанні цієї проблеми вирішальна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відводиться вмінню усвідомити форму твору, динамічний план, агогіку.</w:t>
      </w:r>
    </w:p>
    <w:p w:rsidR="00092019" w:rsidRPr="002074B6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10"/>
        </w:tabs>
        <w:spacing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</w:t>
      </w:r>
      <w:r w:rsidR="002074B6" w:rsidRPr="0020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0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 включення даного твору в</w:t>
      </w:r>
      <w:r w:rsidRPr="0020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програму учня.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 кінець методико-виконавського аналізу педагогічного репертуару необхідно подати своєрідне резюме: визначити мету включення даного 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 у репертуар учня в залежності від його здібностей, рівня його загального та музичного розвитку. Врахувати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педагогічно-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виховне, піаністичне та музично-інтелектуальне значення даного твору для розвитку конкретного учня.</w:t>
      </w:r>
      <w:bookmarkStart w:id="1" w:name="bookmark=id.30j0zll" w:colFirst="0" w:colLast="0"/>
      <w:bookmarkEnd w:id="1"/>
    </w:p>
    <w:p w:rsidR="00092019" w:rsidRDefault="00EA0ED0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Практичні форми роботи з предмета: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зразкове виконання творів, визначених за програмою предмета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Методико-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виконавський аналіз педагогічного   репертуару»;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виконання методико-виконавського аналізу цих творів за вище наведеною схемою;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написання самостійних робіт з методико-виконавськог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аналізу педагогічного репертуару ДМШ.</w:t>
      </w:r>
      <w:bookmarkStart w:id="2" w:name="bookmark=id.1fob9te" w:colFirst="0" w:colLast="0"/>
      <w:bookmarkEnd w:id="2"/>
    </w:p>
    <w:p w:rsidR="000C7B46" w:rsidRDefault="000C7B4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2019" w:rsidRPr="000C7B46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7B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Тематичний план з предмета «Методико-виконавський аналіз педагогічного репертуару»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2-й клас ДМШ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Обробка укр. нар. пісні «Хміль лугами» (перекладення І.</w:t>
      </w:r>
      <w:r w:rsidR="0020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Берковича</w:t>
      </w:r>
      <w:proofErr w:type="spellEnd"/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С.</w:t>
      </w:r>
      <w:r w:rsidR="0020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Бах. Полонез соль мінор («Нотний зошит А.</w:t>
      </w:r>
      <w:r w:rsidR="0020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="0020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Бах»)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С.</w:t>
      </w:r>
      <w:r w:rsidR="0020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Бах. Волинка («Нотний зошит А. М.</w:t>
      </w:r>
      <w:r w:rsidR="0020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Бах).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 </w:t>
      </w:r>
      <w:proofErr w:type="spellStart"/>
      <w:r w:rsidR="002074B6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proofErr w:type="spellEnd"/>
      <w:r w:rsidR="0020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Бетховен. Сонатина Соль мажор (І, II частини).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Клементі. Сонатина До мажор (І, II, III частини).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 w:rsidR="0020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Шуман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Солдатський марш.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Майкапар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«Метелик» («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Бірюльки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20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Косенко.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Скерцино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(«24 дитячі п’єси»).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арвінський. Коломийка («Наше сонечко грає на фортепіано»).</w:t>
      </w:r>
    </w:p>
    <w:p w:rsidR="00092019" w:rsidRDefault="00EA0ED0">
      <w:pPr>
        <w:pStyle w:val="normal"/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І.</w:t>
      </w:r>
      <w:r w:rsidR="00207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Беркович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07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Скерцино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І.</w:t>
      </w:r>
      <w:r w:rsidR="00207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Беркович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Етюди </w:t>
      </w:r>
      <w:r w:rsidR="0020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>
        <w:rPr>
          <w:rFonts w:ascii="Times New Roman" w:eastAsia="Times New Roman" w:hAnsi="Times New Roman" w:cs="Times New Roman"/>
          <w:sz w:val="28"/>
          <w:szCs w:val="28"/>
        </w:rPr>
        <w:t>,42.</w:t>
      </w:r>
    </w:p>
    <w:p w:rsidR="00092019" w:rsidRDefault="00EA0ED0" w:rsidP="000C7B4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3-й клас ДМШ: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Кореллі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Сарабанда мі мінор</w:t>
      </w:r>
    </w:p>
    <w:p w:rsidR="00092019" w:rsidRDefault="005122C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Обробка української народної </w:t>
      </w:r>
      <w:r w:rsidR="00EA0ED0">
        <w:rPr>
          <w:rFonts w:ascii="Times New Roman" w:eastAsia="Times New Roman" w:hAnsi="Times New Roman" w:cs="Times New Roman"/>
          <w:color w:val="000000"/>
          <w:sz w:val="28"/>
          <w:szCs w:val="28"/>
        </w:rPr>
        <w:t>пісні «Ой, з-за гори кам’яної» (перекладення 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0ED0">
        <w:rPr>
          <w:rFonts w:ascii="Times New Roman" w:eastAsia="Times New Roman" w:hAnsi="Times New Roman" w:cs="Times New Roman"/>
          <w:color w:val="000000"/>
          <w:sz w:val="28"/>
          <w:szCs w:val="28"/>
        </w:rPr>
        <w:t>Берковича</w:t>
      </w:r>
      <w:proofErr w:type="spellEnd"/>
      <w:r w:rsidR="00EA0ED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 </w:t>
      </w:r>
      <w:proofErr w:type="spellStart"/>
      <w:r w:rsidR="005122CC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proofErr w:type="spellEnd"/>
      <w:r w:rsidR="00512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Бетховен. Сонатина Фа мажор (І,</w:t>
      </w:r>
      <w:r w:rsidR="00512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ІІ частини).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Людкевич. «Старовинна пісня»</w:t>
      </w:r>
    </w:p>
    <w:p w:rsidR="00092019" w:rsidRDefault="0009201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2019" w:rsidRDefault="00092019" w:rsidP="005122C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4-й клас ДМШ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512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Гендель. Сарабанда з варіаціями ре мінор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r w:rsidR="00512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Моцарт. Сонатина До мажор (Шість віденських сонатин, № 1).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="00512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Гріг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Вальс ля мінор («Ліричні п’єси», 1-й зошит).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512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Косенко. «Дощик» (24 дитячі п’єси).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Лемуан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Етюд До мажор № 28, тв. 37.</w:t>
      </w:r>
    </w:p>
    <w:p w:rsidR="00092019" w:rsidRDefault="0009201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5-й клас ДМШ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Й.-</w:t>
      </w:r>
      <w:r w:rsidR="00512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С.Бах. Двоголос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інвенція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мажор.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 </w:t>
      </w:r>
      <w:proofErr w:type="spellStart"/>
      <w:r w:rsidR="005122CC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proofErr w:type="spellEnd"/>
      <w:r w:rsidR="00512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Бетховен. Сонатина Соль мажор</w:t>
      </w:r>
      <w:r w:rsidR="005122C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20.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="00512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Скорик. «Народний танець» (з «Дитячого альбому»).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="00512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Майкапар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Стакато - прелюд № 6, тв.31.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 w:rsidR="00512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Нижанківський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«Гавот ляльки» (5 п’єс для дітей).</w:t>
      </w:r>
    </w:p>
    <w:p w:rsidR="00092019" w:rsidRDefault="00EA0ED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512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Сасько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Блюз («Граю джаз»).</w:t>
      </w:r>
      <w:bookmarkStart w:id="3" w:name="bookmark=id.3znysh7" w:colFirst="0" w:colLast="0"/>
      <w:bookmarkEnd w:id="3"/>
    </w:p>
    <w:p w:rsidR="00092019" w:rsidRDefault="00EA0ED0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20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</w:t>
      </w:r>
      <w:r w:rsidR="000C7B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омендована методична література</w:t>
      </w:r>
    </w:p>
    <w:p w:rsidR="00092019" w:rsidRDefault="005122C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7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A0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EA0ED0">
        <w:rPr>
          <w:rFonts w:ascii="Times New Roman" w:eastAsia="Times New Roman" w:hAnsi="Times New Roman" w:cs="Times New Roman"/>
          <w:color w:val="000000"/>
          <w:sz w:val="28"/>
          <w:szCs w:val="28"/>
        </w:rPr>
        <w:t>Бадура-Скода</w:t>
      </w:r>
      <w:proofErr w:type="spellEnd"/>
      <w:r w:rsidR="00EA0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 и П. </w:t>
      </w:r>
      <w:r w:rsidR="00EA0ED0">
        <w:rPr>
          <w:rFonts w:ascii="Times New Roman" w:eastAsia="Times New Roman" w:hAnsi="Times New Roman" w:cs="Times New Roman"/>
          <w:sz w:val="28"/>
          <w:szCs w:val="28"/>
        </w:rPr>
        <w:t>І</w:t>
      </w:r>
      <w:r w:rsidR="00EA0ED0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нтерпретац</w:t>
      </w:r>
      <w:r w:rsidR="00EA0ED0">
        <w:rPr>
          <w:rFonts w:ascii="Times New Roman" w:eastAsia="Times New Roman" w:hAnsi="Times New Roman" w:cs="Times New Roman"/>
          <w:sz w:val="28"/>
          <w:szCs w:val="28"/>
        </w:rPr>
        <w:t>і</w:t>
      </w:r>
      <w:r w:rsidR="00EA0ED0">
        <w:rPr>
          <w:rFonts w:ascii="Times New Roman" w:eastAsia="Times New Roman" w:hAnsi="Times New Roman" w:cs="Times New Roman"/>
          <w:color w:val="000000"/>
          <w:sz w:val="28"/>
          <w:szCs w:val="28"/>
        </w:rPr>
        <w:t>я Моцарта</w:t>
      </w:r>
      <w:r w:rsidR="00EA0ED0">
        <w:rPr>
          <w:rFonts w:ascii="Times New Roman" w:eastAsia="Times New Roman" w:hAnsi="Times New Roman" w:cs="Times New Roman"/>
          <w:sz w:val="28"/>
          <w:szCs w:val="28"/>
        </w:rPr>
        <w:t>. К.,</w:t>
      </w:r>
      <w:r w:rsidR="00EA0ED0">
        <w:rPr>
          <w:rFonts w:ascii="Times New Roman" w:eastAsia="Times New Roman" w:hAnsi="Times New Roman" w:cs="Times New Roman"/>
          <w:color w:val="000000"/>
          <w:sz w:val="28"/>
          <w:szCs w:val="28"/>
        </w:rPr>
        <w:t>1985</w:t>
      </w:r>
    </w:p>
    <w:p w:rsidR="00092019" w:rsidRDefault="005122C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60"/>
        </w:tabs>
        <w:spacing w:line="276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A0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EA0ED0">
        <w:rPr>
          <w:rFonts w:ascii="Times New Roman" w:eastAsia="Times New Roman" w:hAnsi="Times New Roman" w:cs="Times New Roman"/>
          <w:color w:val="000000"/>
          <w:sz w:val="28"/>
          <w:szCs w:val="28"/>
        </w:rPr>
        <w:t>Кашкадамова</w:t>
      </w:r>
      <w:proofErr w:type="spellEnd"/>
      <w:r w:rsidR="00EA0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Мистецтво гри на клавішно-струнних інструментах. Тернопіль, 1999.</w:t>
      </w:r>
    </w:p>
    <w:p w:rsidR="00092019" w:rsidRDefault="005122C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13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A0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EA0ED0">
        <w:rPr>
          <w:rFonts w:ascii="Times New Roman" w:eastAsia="Times New Roman" w:hAnsi="Times New Roman" w:cs="Times New Roman"/>
          <w:color w:val="000000"/>
          <w:sz w:val="28"/>
          <w:szCs w:val="28"/>
        </w:rPr>
        <w:t>Кашкадамова</w:t>
      </w:r>
      <w:proofErr w:type="spellEnd"/>
      <w:r w:rsidR="00EA0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Мистецтво виконання Шопена. Тернопіль, 2000.</w:t>
      </w:r>
    </w:p>
    <w:p w:rsidR="00092019" w:rsidRDefault="005122C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A0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EA0ED0">
        <w:rPr>
          <w:rFonts w:ascii="Times New Roman" w:eastAsia="Times New Roman" w:hAnsi="Times New Roman" w:cs="Times New Roman"/>
          <w:color w:val="000000"/>
          <w:sz w:val="28"/>
          <w:szCs w:val="28"/>
        </w:rPr>
        <w:t>Курковс</w:t>
      </w:r>
      <w:r w:rsidR="00EA0ED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A0ED0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 w:rsidR="00EA0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="00EA0ED0">
        <w:rPr>
          <w:rFonts w:ascii="Times New Roman" w:eastAsia="Times New Roman" w:hAnsi="Times New Roman" w:cs="Times New Roman"/>
          <w:sz w:val="28"/>
          <w:szCs w:val="28"/>
        </w:rPr>
        <w:t xml:space="preserve">Питання </w:t>
      </w:r>
      <w:r w:rsidR="00EA0ED0">
        <w:rPr>
          <w:rFonts w:ascii="Times New Roman" w:eastAsia="Times New Roman" w:hAnsi="Times New Roman" w:cs="Times New Roman"/>
          <w:color w:val="000000"/>
          <w:sz w:val="28"/>
          <w:szCs w:val="28"/>
        </w:rPr>
        <w:t>фортеп</w:t>
      </w:r>
      <w:r w:rsidR="00EA0ED0">
        <w:rPr>
          <w:rFonts w:ascii="Times New Roman" w:eastAsia="Times New Roman" w:hAnsi="Times New Roman" w:cs="Times New Roman"/>
          <w:sz w:val="28"/>
          <w:szCs w:val="28"/>
        </w:rPr>
        <w:t>і</w:t>
      </w:r>
      <w:r w:rsidR="00EA0ED0">
        <w:rPr>
          <w:rFonts w:ascii="Times New Roman" w:eastAsia="Times New Roman" w:hAnsi="Times New Roman" w:cs="Times New Roman"/>
          <w:color w:val="000000"/>
          <w:sz w:val="28"/>
          <w:szCs w:val="28"/>
        </w:rPr>
        <w:t>анного ви</w:t>
      </w:r>
      <w:r w:rsidR="00EA0ED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0ED0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EA0ED0">
        <w:rPr>
          <w:rFonts w:ascii="Times New Roman" w:eastAsia="Times New Roman" w:hAnsi="Times New Roman" w:cs="Times New Roman"/>
          <w:sz w:val="28"/>
          <w:szCs w:val="28"/>
        </w:rPr>
        <w:t>авс</w:t>
      </w:r>
      <w:r w:rsidR="00EA0ED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EA0ED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A0ED0">
        <w:rPr>
          <w:rFonts w:ascii="Times New Roman" w:eastAsia="Times New Roman" w:hAnsi="Times New Roman" w:cs="Times New Roman"/>
          <w:color w:val="000000"/>
          <w:sz w:val="28"/>
          <w:szCs w:val="28"/>
        </w:rPr>
        <w:t>. К., 1983.</w:t>
      </w:r>
    </w:p>
    <w:p w:rsidR="00092019" w:rsidRDefault="005122C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A0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EA0ED0">
        <w:rPr>
          <w:rFonts w:ascii="Times New Roman" w:eastAsia="Times New Roman" w:hAnsi="Times New Roman" w:cs="Times New Roman"/>
          <w:color w:val="000000"/>
          <w:sz w:val="28"/>
          <w:szCs w:val="28"/>
        </w:rPr>
        <w:t>Милич</w:t>
      </w:r>
      <w:proofErr w:type="spellEnd"/>
      <w:r w:rsidR="00EA0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 В</w:t>
      </w:r>
      <w:r>
        <w:rPr>
          <w:rFonts w:ascii="Times New Roman" w:eastAsia="Times New Roman" w:hAnsi="Times New Roman" w:cs="Times New Roman"/>
          <w:sz w:val="28"/>
          <w:szCs w:val="28"/>
        </w:rPr>
        <w:t>иховання</w:t>
      </w:r>
      <w:r w:rsidR="00EA0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ED0">
        <w:rPr>
          <w:rFonts w:ascii="Times New Roman" w:eastAsia="Times New Roman" w:hAnsi="Times New Roman" w:cs="Times New Roman"/>
          <w:color w:val="000000"/>
          <w:sz w:val="28"/>
          <w:szCs w:val="28"/>
        </w:rPr>
        <w:t>учня-п</w:t>
      </w:r>
      <w:r w:rsidR="00EA0ED0">
        <w:rPr>
          <w:rFonts w:ascii="Times New Roman" w:eastAsia="Times New Roman" w:hAnsi="Times New Roman" w:cs="Times New Roman"/>
          <w:sz w:val="28"/>
          <w:szCs w:val="28"/>
        </w:rPr>
        <w:t>і</w:t>
      </w:r>
      <w:r w:rsidR="00EA0ED0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EA0ED0">
        <w:rPr>
          <w:rFonts w:ascii="Times New Roman" w:eastAsia="Times New Roman" w:hAnsi="Times New Roman" w:cs="Times New Roman"/>
          <w:sz w:val="28"/>
          <w:szCs w:val="28"/>
        </w:rPr>
        <w:t>і</w:t>
      </w:r>
      <w:r w:rsidR="00EA0ED0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1-2 кл., 3-4 кл., 5-7кл. </w:t>
      </w:r>
      <w:r w:rsidR="00EA0ED0">
        <w:rPr>
          <w:rFonts w:ascii="Times New Roman" w:eastAsia="Times New Roman" w:hAnsi="Times New Roman" w:cs="Times New Roman"/>
          <w:color w:val="000000"/>
          <w:sz w:val="28"/>
          <w:szCs w:val="28"/>
        </w:rPr>
        <w:t>К., 1972.</w:t>
      </w:r>
    </w:p>
    <w:p w:rsidR="00092019" w:rsidRDefault="005122C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A0ED0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Програма для ДМШ та музичних відділів шкіл мистецтв. Львів, 2000</w:t>
      </w:r>
    </w:p>
    <w:p w:rsidR="00092019" w:rsidRDefault="005122C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2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A0ED0">
        <w:rPr>
          <w:rFonts w:ascii="Times New Roman" w:eastAsia="Times New Roman" w:hAnsi="Times New Roman" w:cs="Times New Roman"/>
          <w:color w:val="000000"/>
          <w:sz w:val="28"/>
          <w:szCs w:val="28"/>
        </w:rPr>
        <w:t>. Савицький Р. Основні засади фортепіанної педагогіки. Львів, 1994.</w:t>
      </w:r>
    </w:p>
    <w:p w:rsidR="00092019" w:rsidRDefault="0009201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98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019" w:rsidRDefault="0009201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98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019" w:rsidRDefault="0009201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93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92019" w:rsidSect="00092019">
      <w:footerReference w:type="default" r:id="rId8"/>
      <w:pgSz w:w="16838" w:h="23810"/>
      <w:pgMar w:top="1134" w:right="850" w:bottom="1134" w:left="1418" w:header="0" w:footer="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ED0" w:rsidRDefault="00EA0ED0" w:rsidP="00092019">
      <w:r>
        <w:separator/>
      </w:r>
    </w:p>
  </w:endnote>
  <w:endnote w:type="continuationSeparator" w:id="0">
    <w:p w:rsidR="00EA0ED0" w:rsidRDefault="00EA0ED0" w:rsidP="00092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19" w:rsidRDefault="00092019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EA0ED0">
      <w:rPr>
        <w:color w:val="000000"/>
        <w:sz w:val="24"/>
        <w:szCs w:val="24"/>
      </w:rPr>
      <w:instrText>PAGE</w:instrText>
    </w:r>
    <w:r w:rsidR="00454463">
      <w:rPr>
        <w:color w:val="000000"/>
        <w:sz w:val="24"/>
        <w:szCs w:val="24"/>
      </w:rPr>
      <w:fldChar w:fldCharType="separate"/>
    </w:r>
    <w:r w:rsidR="000C7B46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092019" w:rsidRDefault="00092019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ED0" w:rsidRDefault="00EA0ED0" w:rsidP="00092019">
      <w:r>
        <w:separator/>
      </w:r>
    </w:p>
  </w:footnote>
  <w:footnote w:type="continuationSeparator" w:id="0">
    <w:p w:rsidR="00EA0ED0" w:rsidRDefault="00EA0ED0" w:rsidP="00092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B574E"/>
    <w:multiLevelType w:val="multilevel"/>
    <w:tmpl w:val="49107A24"/>
    <w:lvl w:ilvl="0">
      <w:start w:val="1"/>
      <w:numFmt w:val="decimal"/>
      <w:lvlText w:val="%1."/>
      <w:lvlJc w:val="left"/>
      <w:pPr>
        <w:ind w:left="123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5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7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9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1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3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5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7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91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019"/>
    <w:rsid w:val="00092019"/>
    <w:rsid w:val="000C7B46"/>
    <w:rsid w:val="002074B6"/>
    <w:rsid w:val="00454463"/>
    <w:rsid w:val="005122CC"/>
    <w:rsid w:val="00EA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920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920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920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920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920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9201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92019"/>
  </w:style>
  <w:style w:type="table" w:customStyle="1" w:styleId="TableNormal">
    <w:name w:val="Table Normal"/>
    <w:rsid w:val="000920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9201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920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716xVIRZvM7y4fgyNt10CxK7Hg==">CgMxLjAyCWlkLmdqZGd4czIKaWQuMzBqMHpsbDIKaWQuMWZvYjl0ZTIKaWQuM3pueXNoNzgAciExVGFOS0pQZEQtOUtQRDZ4MXpQVkpGaGpaS1RQMnN5a3c=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ДМКТНЗ</cp:lastModifiedBy>
  <cp:revision>3</cp:revision>
  <dcterms:created xsi:type="dcterms:W3CDTF">2023-12-28T13:42:00Z</dcterms:created>
  <dcterms:modified xsi:type="dcterms:W3CDTF">2023-12-28T13:53:00Z</dcterms:modified>
</cp:coreProperties>
</file>